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926.0" w:type="dxa"/>
        <w:jc w:val="left"/>
        <w:tblBorders>
          <w:top w:color="000000" w:space="0" w:sz="2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09"/>
        <w:gridCol w:w="5367"/>
        <w:gridCol w:w="1512"/>
        <w:gridCol w:w="1338"/>
        <w:tblGridChange w:id="0">
          <w:tblGrid>
            <w:gridCol w:w="1709"/>
            <w:gridCol w:w="5367"/>
            <w:gridCol w:w="1512"/>
            <w:gridCol w:w="1338"/>
          </w:tblGrid>
        </w:tblGridChange>
      </w:tblGrid>
      <w:tr>
        <w:trPr>
          <w:cantSplit w:val="0"/>
          <w:trHeight w:val="620" w:hRule="atLeast"/>
          <w:tblHeader w:val="0"/>
        </w:trPr>
        <w:tc>
          <w:tcPr>
            <w:gridSpan w:val="4"/>
          </w:tcPr>
          <w:p w:rsidR="00000000" w:rsidDel="00000000" w:rsidP="00000000" w:rsidRDefault="00000000" w:rsidRPr="00000000" w14:paraId="00000002">
            <w:pPr>
              <w:spacing w:before="120" w:lineRule="auto"/>
              <w:jc w:val="center"/>
              <w:rPr>
                <w:rFonts w:ascii="Times New Roman" w:cs="Times New Roman" w:eastAsia="Times New Roman" w:hAnsi="Times New Roman"/>
                <w:b w:val="1"/>
                <w:bCs w:val="1"/>
                <w:sz w:val="32"/>
                <w:szCs w:val="32"/>
              </w:rPr>
            </w:pPr>
            <w:r w:rsidDel="00000000" w:rsidR="00000000" w:rsidRPr="00000000">
              <w:rPr>
                <w:rFonts w:ascii="Times New Roman" w:cs="Times New Roman" w:eastAsia="Times New Roman" w:hAnsi="Times New Roman"/>
                <w:b w:val="1"/>
                <w:bCs w:val="1"/>
                <w:sz w:val="44"/>
                <w:szCs w:val="44"/>
                <w:rtl w:val="0"/>
              </w:rPr>
              <w:t xml:space="preserve">Cleveland City Board of Education</w:t>
            </w:r>
            <w:r w:rsidDel="00000000" w:rsidR="00000000" w:rsidRPr="00000000">
              <w:rPr>
                <w:rtl w:val="0"/>
              </w:rPr>
            </w:r>
          </w:p>
        </w:tc>
      </w:tr>
      <w:tr>
        <w:trPr>
          <w:cantSplit w:val="0"/>
          <w:trHeight w:val="620" w:hRule="atLeast"/>
          <w:tblHeader w:val="0"/>
        </w:trPr>
        <w:tc>
          <w:tcPr>
            <w:vMerge w:val="restart"/>
          </w:tcPr>
          <w:p w:rsidR="00000000" w:rsidDel="00000000" w:rsidP="00000000" w:rsidRDefault="00000000" w:rsidRPr="00000000" w14:paraId="00000006">
            <w:pPr>
              <w:spacing w:after="120" w:before="12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Monitoring:</w:t>
            </w:r>
          </w:p>
          <w:p w:rsidR="00000000" w:rsidDel="00000000" w:rsidP="00000000" w:rsidRDefault="00000000" w:rsidRPr="00000000" w14:paraId="00000007">
            <w:pP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18"/>
                <w:szCs w:val="18"/>
                <w:rtl w:val="0"/>
              </w:rPr>
              <w:t xml:space="preserve">Review: Annually, in February</w:t>
            </w:r>
            <w:r w:rsidDel="00000000" w:rsidR="00000000" w:rsidRPr="00000000">
              <w:rPr>
                <w:rtl w:val="0"/>
              </w:rPr>
            </w:r>
          </w:p>
        </w:tc>
        <w:tc>
          <w:tcPr>
            <w:vMerge w:val="restart"/>
          </w:tcPr>
          <w:p w:rsidR="00000000" w:rsidDel="00000000" w:rsidP="00000000" w:rsidRDefault="00000000" w:rsidRPr="00000000" w14:paraId="00000008">
            <w:pPr>
              <w:spacing w:before="12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Descriptor Term:</w:t>
              <w:br w:type="textWrapping"/>
            </w:r>
          </w:p>
          <w:p w:rsidR="00000000" w:rsidDel="00000000" w:rsidP="00000000" w:rsidRDefault="00000000" w:rsidRPr="00000000" w14:paraId="00000009">
            <w:pPr>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32"/>
                <w:szCs w:val="32"/>
                <w:rtl w:val="0"/>
              </w:rPr>
              <w:t xml:space="preserve">Sick Leave</w:t>
            </w:r>
            <w:r w:rsidDel="00000000" w:rsidR="00000000" w:rsidRPr="00000000">
              <w:rPr>
                <w:rtl w:val="0"/>
              </w:rPr>
            </w:r>
          </w:p>
        </w:tc>
        <w:tc>
          <w:tcPr/>
          <w:p w:rsidR="00000000" w:rsidDel="00000000" w:rsidP="00000000" w:rsidRDefault="00000000" w:rsidRPr="00000000" w14:paraId="0000000A">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Descriptor Code:</w:t>
            </w:r>
          </w:p>
          <w:p w:rsidR="00000000" w:rsidDel="00000000" w:rsidP="00000000" w:rsidRDefault="00000000" w:rsidRPr="00000000" w14:paraId="0000000B">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5.302</w:t>
            </w:r>
          </w:p>
        </w:tc>
        <w:tc>
          <w:tcPr/>
          <w:p w:rsidR="00000000" w:rsidDel="00000000" w:rsidP="00000000" w:rsidRDefault="00000000" w:rsidRPr="00000000" w14:paraId="0000000C">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Issued Date:</w:t>
            </w:r>
          </w:p>
          <w:p w:rsidR="00000000" w:rsidDel="00000000" w:rsidP="00000000" w:rsidRDefault="00000000" w:rsidRPr="00000000" w14:paraId="0000000D">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09/08/26</w:t>
            </w:r>
          </w:p>
        </w:tc>
      </w:tr>
      <w:tr>
        <w:trPr>
          <w:cantSplit w:val="0"/>
          <w:trHeight w:val="620" w:hRule="atLeast"/>
          <w:tblHeader w:val="0"/>
        </w:trPr>
        <w:tc>
          <w:tcPr>
            <w:vMerge w:val="continue"/>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vMerge w:val="continue"/>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p w:rsidR="00000000" w:rsidDel="00000000" w:rsidP="00000000" w:rsidRDefault="00000000" w:rsidRPr="00000000" w14:paraId="00000010">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Rescinds:</w:t>
            </w:r>
          </w:p>
          <w:p w:rsidR="00000000" w:rsidDel="00000000" w:rsidP="00000000" w:rsidRDefault="00000000" w:rsidRPr="00000000" w14:paraId="00000011">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5.302</w:t>
            </w:r>
          </w:p>
        </w:tc>
        <w:tc>
          <w:tcPr/>
          <w:p w:rsidR="00000000" w:rsidDel="00000000" w:rsidP="00000000" w:rsidRDefault="00000000" w:rsidRPr="00000000" w14:paraId="00000012">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Issued:</w:t>
            </w:r>
          </w:p>
          <w:p w:rsidR="00000000" w:rsidDel="00000000" w:rsidP="00000000" w:rsidRDefault="00000000" w:rsidRPr="00000000" w14:paraId="00000013">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03/03/25</w:t>
            </w:r>
          </w:p>
        </w:tc>
      </w:tr>
    </w:tbl>
    <w:bookmarkStart w:colFirst="0" w:colLast="0" w:name="bookmark=id.gdcsn0lom1b9" w:id="0"/>
    <w:bookmarkEnd w:id="0"/>
    <w:p w:rsidR="00000000" w:rsidDel="00000000" w:rsidP="00000000" w:rsidRDefault="00000000" w:rsidRPr="00000000" w14:paraId="00000014">
      <w:pPr>
        <w:spacing w:after="0" w:before="240" w:lin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PROFESSIONAL PERSONNEL</w:t>
      </w:r>
    </w:p>
    <w:p w:rsidR="00000000" w:rsidDel="00000000" w:rsidP="00000000" w:rsidRDefault="00000000" w:rsidRPr="00000000" w14:paraId="00000015">
      <w:pPr>
        <w:spacing w:after="0" w:before="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trike w:val="1"/>
          <w:sz w:val="24"/>
          <w:szCs w:val="24"/>
          <w:rtl w:val="0"/>
        </w:rPr>
        <w:t xml:space="preserve">The time allowed for sick leave for professional</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ee0000"/>
          <w:sz w:val="24"/>
          <w:szCs w:val="24"/>
          <w:rtl w:val="0"/>
        </w:rPr>
        <w:t xml:space="preserve">Professional </w:t>
      </w:r>
      <w:r w:rsidDel="00000000" w:rsidR="00000000" w:rsidRPr="00000000">
        <w:rPr>
          <w:rFonts w:ascii="Times New Roman" w:cs="Times New Roman" w:eastAsia="Times New Roman" w:hAnsi="Times New Roman"/>
          <w:sz w:val="24"/>
          <w:szCs w:val="24"/>
          <w:rtl w:val="0"/>
        </w:rPr>
        <w:t xml:space="preserve">personnel shall </w:t>
      </w:r>
      <w:r w:rsidDel="00000000" w:rsidR="00000000" w:rsidRPr="00000000">
        <w:rPr>
          <w:rFonts w:ascii="Times New Roman" w:cs="Times New Roman" w:eastAsia="Times New Roman" w:hAnsi="Times New Roman"/>
          <w:color w:val="ee0000"/>
          <w:sz w:val="24"/>
          <w:szCs w:val="24"/>
          <w:rtl w:val="0"/>
        </w:rPr>
        <w:t xml:space="preserve">earn sick leave as outlined below </w:t>
      </w:r>
      <w:r w:rsidDel="00000000" w:rsidR="00000000" w:rsidRPr="00000000">
        <w:rPr>
          <w:rFonts w:ascii="Times New Roman" w:cs="Times New Roman" w:eastAsia="Times New Roman" w:hAnsi="Times New Roman"/>
          <w:strike w:val="1"/>
          <w:sz w:val="24"/>
          <w:szCs w:val="24"/>
          <w:rtl w:val="0"/>
        </w:rPr>
        <w:t xml:space="preserve">be one (1) day for each month employed during the school year</w:t>
      </w:r>
      <w:r w:rsidDel="00000000" w:rsidR="00000000" w:rsidRPr="00000000">
        <w:rPr>
          <w:rFonts w:ascii="Times New Roman" w:cs="Times New Roman" w:eastAsia="Times New Roman" w:hAnsi="Times New Roman"/>
          <w:sz w:val="24"/>
          <w:szCs w:val="24"/>
          <w:rtl w:val="0"/>
        </w:rPr>
        <w:t xml:space="preserve"> and shall accumulate for an unlimited number of days.</w:t>
      </w:r>
      <w:r w:rsidDel="00000000" w:rsidR="00000000" w:rsidRPr="00000000">
        <w:rPr>
          <w:rFonts w:ascii="Times New Roman" w:cs="Times New Roman" w:eastAsia="Times New Roman" w:hAnsi="Times New Roman"/>
          <w:sz w:val="24"/>
          <w:szCs w:val="24"/>
          <w:vertAlign w:val="superscript"/>
          <w:rtl w:val="0"/>
        </w:rPr>
        <w:t xml:space="preserve">1</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10-month contract = 8 sick days earned per year</w:t>
      </w:r>
    </w:p>
    <w:p w:rsidR="00000000" w:rsidDel="00000000" w:rsidP="00000000" w:rsidRDefault="00000000" w:rsidRPr="00000000" w14:paraId="0000001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11-month contract = 9 sick days earned per year</w:t>
      </w:r>
    </w:p>
    <w:p w:rsidR="00000000" w:rsidDel="00000000" w:rsidP="00000000" w:rsidRDefault="00000000" w:rsidRPr="00000000" w14:paraId="0000001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12-month contract = 10 sick days earned per year</w:t>
      </w:r>
    </w:p>
    <w:p w:rsidR="00000000" w:rsidDel="00000000" w:rsidP="00000000" w:rsidRDefault="00000000" w:rsidRPr="00000000" w14:paraId="00000019">
      <w:pPr>
        <w:spacing w:after="0" w:before="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Sick leave shall be defined as: illness of a teacher from natural causes or accident, quarantine, or illness or death of a member of the immediate family of a teacher, including the teacher's wife or husband, parents, grandparents, children, grandchildren, brothers, sisters, mother-in-law, father-in-law, daughter-in-law, son-in-law, brother-in-law, and sister-in-law.</w:t>
      </w:r>
      <w:r w:rsidDel="00000000" w:rsidR="00000000" w:rsidRPr="00000000">
        <w:rPr>
          <w:rFonts w:ascii="Times New Roman" w:cs="Times New Roman" w:eastAsia="Times New Roman" w:hAnsi="Times New Roman"/>
          <w:sz w:val="24"/>
          <w:szCs w:val="24"/>
          <w:vertAlign w:val="superscript"/>
          <w:rtl w:val="0"/>
        </w:rPr>
        <w:t xml:space="preserve">2</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A">
      <w:pPr>
        <w:spacing w:after="0" w:before="240" w:line="240" w:lineRule="auto"/>
        <w:jc w:val="both"/>
        <w:rPr>
          <w:rFonts w:ascii="Times New Roman" w:cs="Times New Roman" w:eastAsia="Times New Roman" w:hAnsi="Times New Roman"/>
          <w:color w:val="ee0000"/>
          <w:sz w:val="24"/>
          <w:szCs w:val="24"/>
        </w:rPr>
      </w:pPr>
      <w:r w:rsidDel="00000000" w:rsidR="00000000" w:rsidRPr="00000000">
        <w:rPr>
          <w:rFonts w:ascii="Times New Roman" w:cs="Times New Roman" w:eastAsia="Times New Roman" w:hAnsi="Times New Roman"/>
          <w:sz w:val="24"/>
          <w:szCs w:val="24"/>
          <w:rtl w:val="0"/>
        </w:rPr>
        <w:t xml:space="preserve">A signed statement listing the cause of absence shall be provided by the employee on forms furnished by the Director of Schools and shall promptly be given to the immediate supervisor in support of all claims for sick leave pay. A falsified statement shall be grounds for dismissal. </w:t>
      </w:r>
      <w:r w:rsidDel="00000000" w:rsidR="00000000" w:rsidRPr="00000000">
        <w:rPr>
          <w:rFonts w:ascii="Times New Roman" w:cs="Times New Roman" w:eastAsia="Times New Roman" w:hAnsi="Times New Roman"/>
          <w:color w:val="ee0000"/>
          <w:sz w:val="24"/>
          <w:szCs w:val="24"/>
          <w:rtl w:val="0"/>
        </w:rPr>
        <w:t xml:space="preserve">An employee absent five (5) consecutive working days shall submit a doctor’s statement verifying illness or injury of the employee or immediate family member.</w:t>
      </w:r>
    </w:p>
    <w:p w:rsidR="00000000" w:rsidDel="00000000" w:rsidP="00000000" w:rsidRDefault="00000000" w:rsidRPr="00000000" w14:paraId="0000001B">
      <w:pPr>
        <w:spacing w:after="0" w:before="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Documentation from a physician may be required in support of any claim for sick leave pay.</w:t>
      </w:r>
    </w:p>
    <w:p w:rsidR="00000000" w:rsidDel="00000000" w:rsidP="00000000" w:rsidRDefault="00000000" w:rsidRPr="00000000" w14:paraId="0000001C">
      <w:pPr>
        <w:spacing w:after="0" w:before="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principal shall notify the Director of Schools' ofﬁce at once if an employee is sick beyond the limit of his/her sick leave accumulation.  </w:t>
      </w:r>
    </w:p>
    <w:p w:rsidR="00000000" w:rsidDel="00000000" w:rsidP="00000000" w:rsidRDefault="00000000" w:rsidRPr="00000000" w14:paraId="0000001D">
      <w:pPr>
        <w:spacing w:after="0" w:before="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Permanent, cumulative sick leave records for each active professional employee shall be kept in the Director of Schools' office. </w:t>
      </w:r>
    </w:p>
    <w:p w:rsidR="00000000" w:rsidDel="00000000" w:rsidP="00000000" w:rsidRDefault="00000000" w:rsidRPr="00000000" w14:paraId="0000001E">
      <w:pPr>
        <w:spacing w:after="0" w:before="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teacher, upon employment, may transfer his/her accumulated sick leave from another Tennessee school system, provided that the Director of Schools of the system in which the accumulated leave was held provides notarized verification.</w:t>
      </w:r>
      <w:r w:rsidDel="00000000" w:rsidR="00000000" w:rsidRPr="00000000">
        <w:rPr>
          <w:rFonts w:ascii="Times New Roman" w:cs="Times New Roman" w:eastAsia="Times New Roman" w:hAnsi="Times New Roman"/>
          <w:sz w:val="24"/>
          <w:szCs w:val="24"/>
          <w:vertAlign w:val="superscript"/>
          <w:rtl w:val="0"/>
        </w:rPr>
        <w:t xml:space="preserve">3</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F">
      <w:pPr>
        <w:spacing w:after="0" w:before="240" w:lin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SUPPORT PERSONNEL</w:t>
      </w:r>
    </w:p>
    <w:p w:rsidR="00000000" w:rsidDel="00000000" w:rsidP="00000000" w:rsidRDefault="00000000" w:rsidRPr="00000000" w14:paraId="00000020">
      <w:pPr>
        <w:spacing w:after="0" w:before="240" w:line="240" w:lineRule="auto"/>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Sick leave shall be the same for support personnel as for certified employees. </w:t>
      </w:r>
    </w:p>
    <w:p w:rsidR="00000000" w:rsidDel="00000000" w:rsidP="00000000" w:rsidRDefault="00000000" w:rsidRPr="00000000" w14:paraId="00000021">
      <w:pPr>
        <w:spacing w:after="0" w:before="240" w:line="240" w:lineRule="auto"/>
        <w:jc w:val="both"/>
        <w:rPr>
          <w:rFonts w:ascii="Times New Roman" w:cs="Times New Roman" w:eastAsia="Times New Roman" w:hAnsi="Times New Roman"/>
          <w:color w:val="ee0000"/>
          <w:sz w:val="24"/>
          <w:szCs w:val="24"/>
        </w:rPr>
      </w:pPr>
      <w:r w:rsidDel="00000000" w:rsidR="00000000" w:rsidRPr="00000000">
        <w:rPr>
          <w:rFonts w:ascii="Times New Roman" w:cs="Times New Roman" w:eastAsia="Times New Roman" w:hAnsi="Times New Roman"/>
          <w:color w:val="ee0000"/>
          <w:sz w:val="24"/>
          <w:szCs w:val="24"/>
          <w:rtl w:val="0"/>
        </w:rPr>
        <w:t xml:space="preserve">Support personnel shall earn one (1) day of sick leave for each month an employee is employed.</w:t>
      </w:r>
    </w:p>
    <w:p w:rsidR="00000000" w:rsidDel="00000000" w:rsidP="00000000" w:rsidRDefault="00000000" w:rsidRPr="00000000" w14:paraId="00000022">
      <w:pPr>
        <w:spacing w:after="0" w:before="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trike w:val="1"/>
          <w:sz w:val="24"/>
          <w:szCs w:val="24"/>
          <w:rtl w:val="0"/>
        </w:rPr>
        <w:t xml:space="preserve">The time allowed (days earned) for sick leave shall be one (1) day for each month an employee is employed</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3">
      <w:pPr>
        <w:spacing w:after="0" w:before="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Sick leave shall be unlimited.</w:t>
      </w:r>
    </w:p>
    <w:p w:rsidR="00000000" w:rsidDel="00000000" w:rsidP="00000000" w:rsidRDefault="00000000" w:rsidRPr="00000000" w14:paraId="00000024">
      <w:pPr>
        <w:spacing w:after="0" w:before="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 the termination of the employment of any employee, all unused sick leave accumulated by the employee may be forfeited. </w:t>
      </w:r>
    </w:p>
    <w:p w:rsidR="00000000" w:rsidDel="00000000" w:rsidP="00000000" w:rsidRDefault="00000000" w:rsidRPr="00000000" w14:paraId="00000025">
      <w:pPr>
        <w:spacing w:after="0" w:before="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immediate supervisor may require </w:t>
      </w:r>
      <w:r w:rsidDel="00000000" w:rsidR="00000000" w:rsidRPr="00000000">
        <w:rPr>
          <w:rFonts w:ascii="Times New Roman" w:cs="Times New Roman" w:eastAsia="Times New Roman" w:hAnsi="Times New Roman"/>
          <w:strike w:val="1"/>
          <w:sz w:val="24"/>
          <w:szCs w:val="24"/>
          <w:rtl w:val="0"/>
        </w:rPr>
        <w:t xml:space="preserve">a physician's certificate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ee0000"/>
          <w:sz w:val="24"/>
          <w:szCs w:val="24"/>
          <w:rtl w:val="0"/>
        </w:rPr>
        <w:t xml:space="preserve">documentation from a physician</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trike w:val="1"/>
          <w:sz w:val="24"/>
          <w:szCs w:val="24"/>
          <w:rtl w:val="0"/>
        </w:rPr>
        <w:t xml:space="preserve">for any absence within the sick leave regulation. Frequent and misuse of sick leave by an individual are sufficient grounds for requiring a physician's certificate</w:t>
      </w:r>
      <w:r w:rsidDel="00000000" w:rsidR="00000000" w:rsidRPr="00000000">
        <w:rPr>
          <w:rFonts w:ascii="Times New Roman" w:cs="Times New Roman" w:eastAsia="Times New Roman" w:hAnsi="Times New Roman"/>
          <w:sz w:val="24"/>
          <w:szCs w:val="24"/>
          <w:rtl w:val="0"/>
        </w:rPr>
        <w:t xml:space="preserve"> stating the reason for absence.</w:t>
      </w:r>
    </w:p>
    <w:p w:rsidR="00000000" w:rsidDel="00000000" w:rsidP="00000000" w:rsidRDefault="00000000" w:rsidRPr="00000000" w14:paraId="00000026">
      <w:pPr>
        <w:spacing w:after="0" w:before="240" w:lin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SICK LEAVE BANK</w:t>
      </w:r>
    </w:p>
    <w:p w:rsidR="00000000" w:rsidDel="00000000" w:rsidP="00000000" w:rsidRDefault="00000000" w:rsidRPr="00000000" w14:paraId="00000027">
      <w:pPr>
        <w:spacing w:after="0" w:before="240" w:line="240" w:lineRule="auto"/>
        <w:jc w:val="both"/>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Professional Personnel </w:t>
      </w:r>
    </w:p>
    <w:p w:rsidR="00000000" w:rsidDel="00000000" w:rsidP="00000000" w:rsidRDefault="00000000" w:rsidRPr="00000000" w14:paraId="00000028">
      <w:pPr>
        <w:spacing w:after="0" w:before="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sick leave bank is available for all professional personnel who are eligible for accumulated sick leave. Guidelines and procedures for operation are available at the </w:t>
      </w:r>
      <w:r w:rsidDel="00000000" w:rsidR="00000000" w:rsidRPr="00000000">
        <w:rPr>
          <w:rFonts w:ascii="Times New Roman" w:cs="Times New Roman" w:eastAsia="Times New Roman" w:hAnsi="Times New Roman"/>
          <w:strike w:val="1"/>
          <w:sz w:val="24"/>
          <w:szCs w:val="24"/>
          <w:rtl w:val="0"/>
        </w:rPr>
        <w:t xml:space="preserve">Administrative Office Building</w:t>
      </w:r>
      <w:r w:rsidDel="00000000" w:rsidR="00000000" w:rsidRPr="00000000">
        <w:rPr>
          <w:rFonts w:ascii="Times New Roman" w:cs="Times New Roman" w:eastAsia="Times New Roman" w:hAnsi="Times New Roman"/>
          <w:color w:val="ee0000"/>
          <w:sz w:val="24"/>
          <w:szCs w:val="24"/>
          <w:rtl w:val="0"/>
        </w:rPr>
        <w:t xml:space="preserve"> Education Support Center</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9">
      <w:pPr>
        <w:spacing w:after="0" w:before="240" w:line="240" w:lineRule="auto"/>
        <w:jc w:val="both"/>
        <w:rPr>
          <w:rFonts w:ascii="Times New Roman" w:cs="Times New Roman" w:eastAsia="Times New Roman" w:hAnsi="Times New Roman"/>
          <w:b w:val="1"/>
          <w:bCs w:val="1"/>
          <w:i w:val="1"/>
          <w:iCs w:val="1"/>
          <w:sz w:val="24"/>
          <w:szCs w:val="24"/>
        </w:rPr>
      </w:pPr>
      <w:r w:rsidDel="00000000" w:rsidR="00000000" w:rsidRPr="00000000">
        <w:rPr>
          <w:rFonts w:ascii="Times New Roman" w:cs="Times New Roman" w:eastAsia="Times New Roman" w:hAnsi="Times New Roman"/>
          <w:b w:val="1"/>
          <w:bCs w:val="1"/>
          <w:i w:val="1"/>
          <w:iCs w:val="1"/>
          <w:sz w:val="24"/>
          <w:szCs w:val="24"/>
          <w:rtl w:val="0"/>
        </w:rPr>
        <w:t xml:space="preserve">Support Personnel </w:t>
      </w:r>
    </w:p>
    <w:p w:rsidR="00000000" w:rsidDel="00000000" w:rsidP="00000000" w:rsidRDefault="00000000" w:rsidRPr="00000000" w14:paraId="0000002A">
      <w:pPr>
        <w:spacing w:after="0" w:before="240" w:line="240" w:lineRule="auto"/>
        <w:jc w:val="both"/>
        <w:rPr>
          <w:rFonts w:ascii="Times New Roman" w:cs="Times New Roman" w:eastAsia="Times New Roman" w:hAnsi="Times New Roman"/>
          <w:color w:val="ee0000"/>
          <w:sz w:val="24"/>
          <w:szCs w:val="24"/>
        </w:rPr>
      </w:pPr>
      <w:r w:rsidDel="00000000" w:rsidR="00000000" w:rsidRPr="00000000">
        <w:rPr>
          <w:rFonts w:ascii="Times New Roman" w:cs="Times New Roman" w:eastAsia="Times New Roman" w:hAnsi="Times New Roman"/>
          <w:color w:val="000000"/>
          <w:sz w:val="24"/>
          <w:szCs w:val="24"/>
          <w:rtl w:val="0"/>
        </w:rPr>
        <w:t xml:space="preserve">A sick leave bank is available for all support personnel who are eligible for accumulated sick leave. Guidelines and procedures for operation are available at the </w:t>
      </w:r>
      <w:r w:rsidDel="00000000" w:rsidR="00000000" w:rsidRPr="00000000">
        <w:rPr>
          <w:rFonts w:ascii="Times New Roman" w:cs="Times New Roman" w:eastAsia="Times New Roman" w:hAnsi="Times New Roman"/>
          <w:strike w:val="1"/>
          <w:color w:val="000000"/>
          <w:sz w:val="24"/>
          <w:szCs w:val="24"/>
          <w:rtl w:val="0"/>
        </w:rPr>
        <w:t xml:space="preserve">Administrative Office Building</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ee0000"/>
          <w:sz w:val="24"/>
          <w:szCs w:val="24"/>
          <w:rtl w:val="0"/>
        </w:rPr>
        <w:t xml:space="preserve">Education Support Center.</w:t>
      </w:r>
    </w:p>
    <w:p w:rsidR="00000000" w:rsidDel="00000000" w:rsidP="00000000" w:rsidRDefault="00000000" w:rsidRPr="00000000" w14:paraId="0000002B">
      <w:pPr>
        <w:spacing w:after="0" w:before="240" w:line="240" w:lineRule="auto"/>
        <w:rPr>
          <w:rFonts w:ascii="Times New Roman" w:cs="Times New Roman" w:eastAsia="Times New Roman" w:hAnsi="Times New Roman"/>
          <w:color w:val="ee0000"/>
          <w:sz w:val="24"/>
          <w:szCs w:val="24"/>
          <w:vertAlign w:val="superscript"/>
        </w:rPr>
      </w:pPr>
      <w:r w:rsidDel="00000000" w:rsidR="00000000" w:rsidRPr="00000000">
        <w:rPr>
          <w:rFonts w:ascii="Times New Roman" w:cs="Times New Roman" w:eastAsia="Times New Roman" w:hAnsi="Times New Roman"/>
          <w:color w:val="ee0000"/>
          <w:sz w:val="24"/>
          <w:szCs w:val="24"/>
          <w:rtl w:val="0"/>
        </w:rPr>
        <w:t xml:space="preserve">The purpose of the sick leave bank is to provide sick leave to all employees</w:t>
      </w:r>
      <w:r w:rsidDel="00000000" w:rsidR="00000000" w:rsidRPr="00000000">
        <w:rPr>
          <w:rFonts w:ascii="Times New Roman" w:cs="Times New Roman" w:eastAsia="Times New Roman" w:hAnsi="Times New Roman"/>
          <w:color w:val="ee0000"/>
          <w:sz w:val="24"/>
          <w:szCs w:val="24"/>
          <w:vertAlign w:val="superscript"/>
          <w:rtl w:val="0"/>
        </w:rPr>
        <w:t xml:space="preserve">4</w:t>
      </w:r>
      <w:r w:rsidDel="00000000" w:rsidR="00000000" w:rsidRPr="00000000">
        <w:rPr>
          <w:rFonts w:ascii="Times New Roman" w:cs="Times New Roman" w:eastAsia="Times New Roman" w:hAnsi="Times New Roman"/>
          <w:color w:val="ee0000"/>
          <w:sz w:val="24"/>
          <w:szCs w:val="24"/>
          <w:rtl w:val="0"/>
        </w:rPr>
        <w:t xml:space="preserve"> who have suffered an unplanned personal illness, injury, disability, or quarantine and whose personal sick leave is exhausted.</w:t>
      </w:r>
      <w:r w:rsidDel="00000000" w:rsidR="00000000" w:rsidRPr="00000000">
        <w:rPr>
          <w:rtl w:val="0"/>
        </w:rPr>
      </w:r>
    </w:p>
    <w:p w:rsidR="00000000" w:rsidDel="00000000" w:rsidP="00000000" w:rsidRDefault="00000000" w:rsidRPr="00000000" w14:paraId="0000002C">
      <w:pPr>
        <w:spacing w:after="0" w:before="240" w:line="240" w:lineRule="auto"/>
        <w:rPr>
          <w:rFonts w:ascii="Times New Roman" w:cs="Times New Roman" w:eastAsia="Times New Roman" w:hAnsi="Times New Roman"/>
          <w:color w:val="ee0000"/>
          <w:sz w:val="24"/>
          <w:szCs w:val="24"/>
        </w:rPr>
      </w:pPr>
      <w:r w:rsidDel="00000000" w:rsidR="00000000" w:rsidRPr="00000000">
        <w:rPr>
          <w:rFonts w:ascii="Times New Roman" w:cs="Times New Roman" w:eastAsia="Times New Roman" w:hAnsi="Times New Roman"/>
          <w:color w:val="ee0000"/>
          <w:sz w:val="24"/>
          <w:szCs w:val="24"/>
          <w:rtl w:val="0"/>
        </w:rPr>
        <w:t xml:space="preserve">To form a sick leave bank, a minimum of twenty (20) employees from the school district shall petition the Board for permission to establish a sick leave bank.</w:t>
      </w:r>
      <w:r w:rsidDel="00000000" w:rsidR="00000000" w:rsidRPr="00000000">
        <w:rPr>
          <w:rFonts w:ascii="Times New Roman" w:cs="Times New Roman" w:eastAsia="Times New Roman" w:hAnsi="Times New Roman"/>
          <w:color w:val="ee0000"/>
          <w:sz w:val="24"/>
          <w:szCs w:val="24"/>
          <w:vertAlign w:val="superscript"/>
          <w:rtl w:val="0"/>
        </w:rPr>
        <w:t xml:space="preserve">5</w:t>
      </w:r>
      <w:r w:rsidDel="00000000" w:rsidR="00000000" w:rsidRPr="00000000">
        <w:rPr>
          <w:rFonts w:ascii="Times New Roman" w:cs="Times New Roman" w:eastAsia="Times New Roman" w:hAnsi="Times New Roman"/>
          <w:color w:val="ee0000"/>
          <w:sz w:val="24"/>
          <w:szCs w:val="24"/>
          <w:rtl w:val="0"/>
        </w:rPr>
        <w:t xml:space="preserve"> Upon approval, sick leave bank trustees shall be appointed and shall operate as the governing body of the sick leave bank and shall enact rules and regulations consistent with state law.</w:t>
      </w:r>
      <w:r w:rsidDel="00000000" w:rsidR="00000000" w:rsidRPr="00000000">
        <w:rPr>
          <w:rFonts w:ascii="Times New Roman" w:cs="Times New Roman" w:eastAsia="Times New Roman" w:hAnsi="Times New Roman"/>
          <w:color w:val="ee0000"/>
          <w:sz w:val="24"/>
          <w:szCs w:val="24"/>
          <w:vertAlign w:val="superscript"/>
          <w:rtl w:val="0"/>
        </w:rPr>
        <w:t xml:space="preserve">6</w:t>
      </w:r>
      <w:r w:rsidDel="00000000" w:rsidR="00000000" w:rsidRPr="00000000">
        <w:rPr>
          <w:rFonts w:ascii="Times New Roman" w:cs="Times New Roman" w:eastAsia="Times New Roman" w:hAnsi="Times New Roman"/>
          <w:color w:val="ee0000"/>
          <w:sz w:val="24"/>
          <w:szCs w:val="24"/>
          <w:rtl w:val="0"/>
        </w:rPr>
        <w:t xml:space="preserve"> Employees wishing to participate shall initially give a maximum of three (3) days of sick leave. These days are to be deducted from the employee's personal accumulation and donated to the sick leave bank. Donations of sick leave to the bank are nonrefundable and nontransferable.</w:t>
      </w:r>
      <w:r w:rsidDel="00000000" w:rsidR="00000000" w:rsidRPr="00000000">
        <w:rPr>
          <w:rFonts w:ascii="Times New Roman" w:cs="Times New Roman" w:eastAsia="Times New Roman" w:hAnsi="Times New Roman"/>
          <w:color w:val="ee0000"/>
          <w:sz w:val="24"/>
          <w:szCs w:val="24"/>
          <w:vertAlign w:val="superscript"/>
          <w:rtl w:val="0"/>
        </w:rPr>
        <w:t xml:space="preserve">7</w:t>
      </w:r>
      <w:r w:rsidDel="00000000" w:rsidR="00000000" w:rsidRPr="00000000">
        <w:rPr>
          <w:rtl w:val="0"/>
        </w:rPr>
      </w:r>
    </w:p>
    <w:p w:rsidR="00000000" w:rsidDel="00000000" w:rsidP="00000000" w:rsidRDefault="00000000" w:rsidRPr="00000000" w14:paraId="0000002D">
      <w:pPr>
        <w:spacing w:after="0" w:before="240" w:line="240" w:lineRule="auto"/>
        <w:rPr>
          <w:rFonts w:ascii="Times New Roman" w:cs="Times New Roman" w:eastAsia="Times New Roman" w:hAnsi="Times New Roman"/>
          <w:color w:val="ee0000"/>
          <w:sz w:val="24"/>
          <w:szCs w:val="24"/>
        </w:rPr>
      </w:pPr>
      <w:r w:rsidDel="00000000" w:rsidR="00000000" w:rsidRPr="00000000">
        <w:rPr>
          <w:rFonts w:ascii="Times New Roman" w:cs="Times New Roman" w:eastAsia="Times New Roman" w:hAnsi="Times New Roman"/>
          <w:color w:val="ee0000"/>
          <w:sz w:val="24"/>
          <w:szCs w:val="24"/>
          <w:rtl w:val="0"/>
        </w:rPr>
        <w:t xml:space="preserve">At any time the number of days in the sick leave bank is less than twenty (20), or one (1) per employee if there are more than twenty (20) members, or at any time deemed advisable, the trustees shall assess each member one (1) or more days of accumulated sick leave. If an employee has no accumulated sick leave at the time of assessment, the ﬁrst earned days shall be donated as they are accrued by the employee.</w:t>
      </w:r>
      <w:r w:rsidDel="00000000" w:rsidR="00000000" w:rsidRPr="00000000">
        <w:rPr>
          <w:rFonts w:ascii="Times New Roman" w:cs="Times New Roman" w:eastAsia="Times New Roman" w:hAnsi="Times New Roman"/>
          <w:color w:val="ee0000"/>
          <w:sz w:val="24"/>
          <w:szCs w:val="24"/>
          <w:vertAlign w:val="superscript"/>
          <w:rtl w:val="0"/>
        </w:rPr>
        <w:t xml:space="preserve">7</w:t>
      </w:r>
      <w:r w:rsidDel="00000000" w:rsidR="00000000" w:rsidRPr="00000000">
        <w:rPr>
          <w:rtl w:val="0"/>
        </w:rPr>
      </w:r>
    </w:p>
    <w:p w:rsidR="00000000" w:rsidDel="00000000" w:rsidP="00000000" w:rsidRDefault="00000000" w:rsidRPr="00000000" w14:paraId="0000002E">
      <w:pPr>
        <w:spacing w:after="0" w:before="240" w:line="240" w:lineRule="auto"/>
        <w:rPr>
          <w:rFonts w:ascii="Times New Roman" w:cs="Times New Roman" w:eastAsia="Times New Roman" w:hAnsi="Times New Roman"/>
          <w:color w:val="ee0000"/>
          <w:sz w:val="24"/>
          <w:szCs w:val="24"/>
        </w:rPr>
      </w:pPr>
      <w:r w:rsidDel="00000000" w:rsidR="00000000" w:rsidRPr="00000000">
        <w:rPr>
          <w:rFonts w:ascii="Times New Roman" w:cs="Times New Roman" w:eastAsia="Times New Roman" w:hAnsi="Times New Roman"/>
          <w:color w:val="ee0000"/>
          <w:sz w:val="24"/>
          <w:szCs w:val="24"/>
          <w:rtl w:val="0"/>
        </w:rPr>
        <w:t xml:space="preserve">An employee who is a member of the sick leave bank may request an allotment of days (for the employee's personal illness or on account of an illness of his/her minor child) in the manner designated by the trustees. The need for these days shall be veriﬁed by a statement from a physician.</w:t>
      </w:r>
      <w:r w:rsidDel="00000000" w:rsidR="00000000" w:rsidRPr="00000000">
        <w:rPr>
          <w:rFonts w:ascii="Times New Roman" w:cs="Times New Roman" w:eastAsia="Times New Roman" w:hAnsi="Times New Roman"/>
          <w:color w:val="ee0000"/>
          <w:sz w:val="24"/>
          <w:szCs w:val="24"/>
          <w:vertAlign w:val="superscript"/>
          <w:rtl w:val="0"/>
        </w:rPr>
        <w:t xml:space="preserve">8</w:t>
      </w:r>
      <w:r w:rsidDel="00000000" w:rsidR="00000000" w:rsidRPr="00000000">
        <w:rPr>
          <w:rFonts w:ascii="Times New Roman" w:cs="Times New Roman" w:eastAsia="Times New Roman" w:hAnsi="Times New Roman"/>
          <w:color w:val="ee0000"/>
          <w:sz w:val="24"/>
          <w:szCs w:val="24"/>
          <w:rtl w:val="0"/>
        </w:rPr>
        <w:t xml:space="preserve"> </w:t>
      </w:r>
    </w:p>
    <w:p w:rsidR="00000000" w:rsidDel="00000000" w:rsidP="00000000" w:rsidRDefault="00000000" w:rsidRPr="00000000" w14:paraId="0000002F">
      <w:pPr>
        <w:spacing w:after="0" w:before="240" w:line="240" w:lineRule="auto"/>
        <w:rPr>
          <w:rFonts w:ascii="Times New Roman" w:cs="Times New Roman" w:eastAsia="Times New Roman" w:hAnsi="Times New Roman"/>
          <w:color w:val="ee0000"/>
          <w:sz w:val="24"/>
          <w:szCs w:val="24"/>
        </w:rPr>
      </w:pPr>
      <w:r w:rsidDel="00000000" w:rsidR="00000000" w:rsidRPr="00000000">
        <w:rPr>
          <w:rFonts w:ascii="Times New Roman" w:cs="Times New Roman" w:eastAsia="Times New Roman" w:hAnsi="Times New Roman"/>
          <w:color w:val="ee0000"/>
          <w:sz w:val="24"/>
          <w:szCs w:val="24"/>
          <w:rtl w:val="0"/>
        </w:rPr>
        <w:t xml:space="preserve">By written notice to the trustees, an employee may withdraw from bank participation on June 30</w:t>
      </w:r>
      <w:r w:rsidDel="00000000" w:rsidR="00000000" w:rsidRPr="00000000">
        <w:rPr>
          <w:rFonts w:ascii="Times New Roman" w:cs="Times New Roman" w:eastAsia="Times New Roman" w:hAnsi="Times New Roman"/>
          <w:color w:val="ee0000"/>
          <w:sz w:val="24"/>
          <w:szCs w:val="24"/>
          <w:vertAlign w:val="superscript"/>
          <w:rtl w:val="0"/>
        </w:rPr>
        <w:t xml:space="preserve">th</w:t>
      </w:r>
      <w:r w:rsidDel="00000000" w:rsidR="00000000" w:rsidRPr="00000000">
        <w:rPr>
          <w:rFonts w:ascii="Times New Roman" w:cs="Times New Roman" w:eastAsia="Times New Roman" w:hAnsi="Times New Roman"/>
          <w:color w:val="ee0000"/>
          <w:sz w:val="24"/>
          <w:szCs w:val="24"/>
          <w:rtl w:val="0"/>
        </w:rPr>
        <w:t xml:space="preserve"> of any year.</w:t>
      </w:r>
      <w:r w:rsidDel="00000000" w:rsidR="00000000" w:rsidRPr="00000000">
        <w:rPr>
          <w:rFonts w:ascii="Times New Roman" w:cs="Times New Roman" w:eastAsia="Times New Roman" w:hAnsi="Times New Roman"/>
          <w:color w:val="ee0000"/>
          <w:sz w:val="24"/>
          <w:szCs w:val="24"/>
          <w:vertAlign w:val="superscript"/>
          <w:rtl w:val="0"/>
        </w:rPr>
        <w:t xml:space="preserve">9 </w:t>
      </w:r>
      <w:r w:rsidDel="00000000" w:rsidR="00000000" w:rsidRPr="00000000">
        <w:rPr>
          <w:rFonts w:ascii="Times New Roman" w:cs="Times New Roman" w:eastAsia="Times New Roman" w:hAnsi="Times New Roman"/>
          <w:color w:val="ee0000"/>
          <w:sz w:val="24"/>
          <w:szCs w:val="24"/>
          <w:rtl w:val="0"/>
        </w:rPr>
        <w:t xml:space="preserve">Membership withdrawal results in forfeiture of all days contributed.</w:t>
      </w:r>
    </w:p>
    <w:p w:rsidR="00000000" w:rsidDel="00000000" w:rsidP="00000000" w:rsidRDefault="00000000" w:rsidRPr="00000000" w14:paraId="00000030">
      <w:pPr>
        <w:spacing w:after="0" w:before="240" w:line="240" w:lineRule="auto"/>
        <w:rPr>
          <w:rFonts w:ascii="Times New Roman" w:cs="Times New Roman" w:eastAsia="Times New Roman" w:hAnsi="Times New Roman"/>
          <w:color w:val="ee0000"/>
          <w:sz w:val="24"/>
          <w:szCs w:val="24"/>
          <w:vertAlign w:val="superscript"/>
        </w:rPr>
      </w:pPr>
      <w:r w:rsidDel="00000000" w:rsidR="00000000" w:rsidRPr="00000000">
        <w:rPr>
          <w:rFonts w:ascii="Times New Roman" w:cs="Times New Roman" w:eastAsia="Times New Roman" w:hAnsi="Times New Roman"/>
          <w:color w:val="ee0000"/>
          <w:sz w:val="24"/>
          <w:szCs w:val="24"/>
          <w:rtl w:val="0"/>
        </w:rPr>
        <w:t xml:space="preserve">The sick leave bank shall be operated in accordance with state law.</w:t>
      </w:r>
      <w:r w:rsidDel="00000000" w:rsidR="00000000" w:rsidRPr="00000000">
        <w:rPr>
          <w:rFonts w:ascii="Times New Roman" w:cs="Times New Roman" w:eastAsia="Times New Roman" w:hAnsi="Times New Roman"/>
          <w:color w:val="ee0000"/>
          <w:sz w:val="24"/>
          <w:szCs w:val="24"/>
          <w:vertAlign w:val="superscript"/>
          <w:rtl w:val="0"/>
        </w:rPr>
        <w:t xml:space="preserve">10</w:t>
      </w:r>
    </w:p>
    <w:p w:rsidR="00000000" w:rsidDel="00000000" w:rsidP="00000000" w:rsidRDefault="00000000" w:rsidRPr="00000000" w14:paraId="00000031">
      <w:pPr>
        <w:spacing w:after="0" w:before="240" w:lin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BEREAVEMENT LEAVE</w:t>
      </w:r>
    </w:p>
    <w:p w:rsidR="00000000" w:rsidDel="00000000" w:rsidP="00000000" w:rsidRDefault="00000000" w:rsidRPr="00000000" w14:paraId="00000032">
      <w:pPr>
        <w:spacing w:after="0" w:before="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Each school year, two (2) days of bereavement leave are provided to all employees for use at the time of death of a member of the immediate family.  One of the two days may be used at the death of a close friend or relative who is not covered in the definition of immediate family.  Immediate family includes the employee's wife or husband, parents, grandparents, children, grandchildren, brothers, sisters, mother-in-law, father-in-law, daughter-in-law, son-in-law, brother-in-law, and sister-in-law. </w:t>
      </w:r>
    </w:p>
    <w:p w:rsidR="00000000" w:rsidDel="00000000" w:rsidP="00000000" w:rsidRDefault="00000000" w:rsidRPr="00000000" w14:paraId="00000033">
      <w:pPr>
        <w:spacing w:after="0" w:before="24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4">
      <w:pPr>
        <w:spacing w:after="0" w:before="24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5">
      <w:pPr>
        <w:spacing w:after="0" w:before="24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6">
      <w:pPr>
        <w:spacing w:after="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r>
    </w:p>
    <w:tbl>
      <w:tblPr>
        <w:tblStyle w:val="Table2"/>
        <w:tblW w:w="9558.0" w:type="dxa"/>
        <w:jc w:val="left"/>
        <w:tblInd w:w="37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14"/>
        <w:gridCol w:w="4444"/>
        <w:tblGridChange w:id="0">
          <w:tblGrid>
            <w:gridCol w:w="5114"/>
            <w:gridCol w:w="4444"/>
          </w:tblGrid>
        </w:tblGridChange>
      </w:tblGrid>
      <w:tr>
        <w:trPr>
          <w:cantSplit w:val="0"/>
          <w:trHeight w:val="215" w:hRule="atLeast"/>
          <w:tblHeader w:val="0"/>
        </w:trPr>
        <w:tc>
          <w:tcPr>
            <w:tcBorders>
              <w:bottom w:color="000000" w:space="0" w:sz="4" w:val="single"/>
            </w:tcBorders>
          </w:tcPr>
          <w:p w:rsidR="00000000" w:rsidDel="00000000" w:rsidP="00000000" w:rsidRDefault="00000000" w:rsidRPr="00000000" w14:paraId="00000037">
            <w:pPr>
              <w:spacing w:before="240" w:lineRule="auto"/>
              <w:rPr>
                <w:rFonts w:ascii="Times New Roman" w:cs="Times New Roman" w:eastAsia="Times New Roman" w:hAnsi="Times New Roman"/>
                <w:color w:val="000000"/>
                <w:sz w:val="18"/>
                <w:szCs w:val="18"/>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38">
            <w:pPr>
              <w:spacing w:before="240" w:lineRule="auto"/>
              <w:rPr>
                <w:rFonts w:ascii="Times New Roman" w:cs="Times New Roman" w:eastAsia="Times New Roman" w:hAnsi="Times New Roman"/>
                <w:color w:val="000000"/>
                <w:sz w:val="18"/>
                <w:szCs w:val="18"/>
              </w:rPr>
            </w:pPr>
            <w:r w:rsidDel="00000000" w:rsidR="00000000" w:rsidRPr="00000000">
              <w:rPr>
                <w:rtl w:val="0"/>
              </w:rPr>
            </w:r>
          </w:p>
        </w:tc>
      </w:tr>
      <w:tr>
        <w:trPr>
          <w:cantSplit w:val="0"/>
          <w:trHeight w:val="323" w:hRule="atLeast"/>
          <w:tblHeader w:val="0"/>
        </w:trPr>
        <w:tc>
          <w:tcPr>
            <w:tcBorders>
              <w:top w:color="000000" w:space="0" w:sz="4" w:val="single"/>
            </w:tcBorders>
          </w:tcPr>
          <w:p w:rsidR="00000000" w:rsidDel="00000000" w:rsidP="00000000" w:rsidRDefault="00000000" w:rsidRPr="00000000" w14:paraId="00000039">
            <w:pPr>
              <w:spacing w:before="120" w:lineRule="auto"/>
              <w:ind w:right="720"/>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Legal References</w:t>
            </w:r>
          </w:p>
        </w:tc>
        <w:tc>
          <w:tcPr>
            <w:tcBorders>
              <w:top w:color="000000" w:space="0" w:sz="4" w:val="single"/>
            </w:tcBorders>
          </w:tcPr>
          <w:p w:rsidR="00000000" w:rsidDel="00000000" w:rsidP="00000000" w:rsidRDefault="00000000" w:rsidRPr="00000000" w14:paraId="0000003A">
            <w:pPr>
              <w:spacing w:before="120"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Cross References</w:t>
            </w:r>
          </w:p>
        </w:tc>
      </w:tr>
      <w:tr>
        <w:trPr>
          <w:cantSplit w:val="0"/>
          <w:tblHeader w:val="0"/>
        </w:trPr>
        <w:tc>
          <w:tcPr/>
          <w:p w:rsidR="00000000" w:rsidDel="00000000" w:rsidP="00000000" w:rsidRDefault="00000000" w:rsidRPr="00000000" w14:paraId="0000003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240" w:line="276" w:lineRule="auto"/>
              <w:ind w:left="360" w:right="720" w:hanging="360"/>
              <w:jc w:val="left"/>
              <w:rPr>
                <w:rFonts w:ascii="Times New Roman" w:cs="Times New Roman" w:eastAsia="Times New Roman" w:hAnsi="Times New Roman"/>
                <w:b w:val="0"/>
                <w:bCs w:val="0"/>
                <w:i w:val="0"/>
                <w:iCs w:val="0"/>
                <w:smallCaps w:val="0"/>
                <w:strike w:val="0"/>
                <w:color w:val="ee0000"/>
                <w:sz w:val="18"/>
                <w:szCs w:val="18"/>
                <w:u w:val="none"/>
                <w:shd w:fill="auto" w:val="clear"/>
                <w:vertAlign w:val="baseline"/>
              </w:rPr>
            </w:pPr>
            <w:hyperlink r:id="rId7">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49-5-710(a)(1)</w:t>
              </w:r>
            </w:hyperlink>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hyperlink r:id="rId8">
              <w:r w:rsidDel="00000000" w:rsidR="00000000" w:rsidRPr="00000000">
                <w:rPr>
                  <w:rFonts w:ascii="Times New Roman" w:cs="Times New Roman" w:eastAsia="Times New Roman" w:hAnsi="Times New Roman"/>
                  <w:b w:val="0"/>
                  <w:bCs w:val="0"/>
                  <w:i w:val="0"/>
                  <w:iCs w:val="0"/>
                  <w:smallCaps w:val="0"/>
                  <w:strike w:val="0"/>
                  <w:color w:val="ee0000"/>
                  <w:sz w:val="18"/>
                  <w:szCs w:val="18"/>
                  <w:u w:val="single"/>
                  <w:shd w:fill="auto" w:val="clear"/>
                  <w:vertAlign w:val="baseline"/>
                  <w:rtl w:val="0"/>
                </w:rPr>
                <w:t xml:space="preserve">Public Acts of 2026, Chapter No. 1022</w:t>
              </w:r>
            </w:hyperlink>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9">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TRR/MS 0520-01-02-.04(2)</w:t>
              </w:r>
            </w:hyperlink>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720" w:hanging="36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hyperlink r:id="rId10">
              <w:r w:rsidDel="00000000" w:rsidR="00000000" w:rsidRPr="00000000">
                <w:rPr>
                  <w:rFonts w:ascii="Times New Roman" w:cs="Times New Roman" w:eastAsia="Times New Roman" w:hAnsi="Times New Roman"/>
                  <w:b w:val="0"/>
                  <w:bCs w:val="0"/>
                  <w:i w:val="0"/>
                  <w:iCs w:val="0"/>
                  <w:smallCaps w:val="0"/>
                  <w:strike w:val="0"/>
                  <w:color w:val="0000ff"/>
                  <w:sz w:val="18"/>
                  <w:szCs w:val="18"/>
                  <w:u w:val="single"/>
                  <w:shd w:fill="auto" w:val="clear"/>
                  <w:vertAlign w:val="baseline"/>
                  <w:rtl w:val="0"/>
                </w:rPr>
                <w:t xml:space="preserve">TCA 49-5-710(a)(5)</w:t>
              </w:r>
            </w:hyperlink>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720" w:hanging="360"/>
              <w:jc w:val="left"/>
              <w:rPr>
                <w:rFonts w:ascii="Times New Roman" w:cs="Times New Roman" w:eastAsia="Times New Roman" w:hAnsi="Times New Roman"/>
                <w:b w:val="0"/>
                <w:bCs w:val="0"/>
                <w:i w:val="0"/>
                <w:iCs w:val="0"/>
                <w:smallCaps w:val="0"/>
                <w:strike w:val="0"/>
                <w:color w:val="ee0000"/>
                <w:sz w:val="18"/>
                <w:szCs w:val="18"/>
                <w:u w:val="none"/>
                <w:shd w:fill="auto" w:val="clear"/>
                <w:vertAlign w:val="baseline"/>
              </w:rPr>
            </w:pPr>
            <w:hyperlink r:id="rId11">
              <w:r w:rsidDel="00000000" w:rsidR="00000000" w:rsidRPr="00000000">
                <w:rPr>
                  <w:rFonts w:ascii="Times New Roman" w:cs="Times New Roman" w:eastAsia="Times New Roman" w:hAnsi="Times New Roman"/>
                  <w:b w:val="0"/>
                  <w:bCs w:val="0"/>
                  <w:i w:val="0"/>
                  <w:iCs w:val="0"/>
                  <w:smallCaps w:val="0"/>
                  <w:strike w:val="0"/>
                  <w:color w:val="ee0000"/>
                  <w:sz w:val="18"/>
                  <w:szCs w:val="18"/>
                  <w:u w:val="single"/>
                  <w:shd w:fill="auto" w:val="clear"/>
                  <w:vertAlign w:val="baseline"/>
                  <w:rtl w:val="0"/>
                </w:rPr>
                <w:t xml:space="preserve">TCA 49-5-811</w:t>
              </w:r>
            </w:hyperlink>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720" w:hanging="360"/>
              <w:jc w:val="left"/>
              <w:rPr>
                <w:rFonts w:ascii="Times New Roman" w:cs="Times New Roman" w:eastAsia="Times New Roman" w:hAnsi="Times New Roman"/>
                <w:b w:val="0"/>
                <w:bCs w:val="0"/>
                <w:i w:val="0"/>
                <w:iCs w:val="0"/>
                <w:smallCaps w:val="0"/>
                <w:strike w:val="0"/>
                <w:color w:val="ee0000"/>
                <w:sz w:val="18"/>
                <w:szCs w:val="18"/>
                <w:u w:val="none"/>
                <w:shd w:fill="auto" w:val="clear"/>
                <w:vertAlign w:val="baseline"/>
              </w:rPr>
            </w:pPr>
            <w:hyperlink r:id="rId12">
              <w:r w:rsidDel="00000000" w:rsidR="00000000" w:rsidRPr="00000000">
                <w:rPr>
                  <w:rFonts w:ascii="Times New Roman" w:cs="Times New Roman" w:eastAsia="Times New Roman" w:hAnsi="Times New Roman"/>
                  <w:b w:val="0"/>
                  <w:bCs w:val="0"/>
                  <w:i w:val="0"/>
                  <w:iCs w:val="0"/>
                  <w:smallCaps w:val="0"/>
                  <w:strike w:val="0"/>
                  <w:color w:val="ee0000"/>
                  <w:sz w:val="18"/>
                  <w:szCs w:val="18"/>
                  <w:u w:val="single"/>
                  <w:shd w:fill="auto" w:val="clear"/>
                  <w:vertAlign w:val="baseline"/>
                  <w:rtl w:val="0"/>
                </w:rPr>
                <w:t xml:space="preserve">TCA 49-5-803</w:t>
              </w:r>
            </w:hyperlink>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720" w:hanging="360"/>
              <w:jc w:val="left"/>
              <w:rPr>
                <w:rFonts w:ascii="Times New Roman" w:cs="Times New Roman" w:eastAsia="Times New Roman" w:hAnsi="Times New Roman"/>
                <w:b w:val="0"/>
                <w:bCs w:val="0"/>
                <w:i w:val="0"/>
                <w:iCs w:val="0"/>
                <w:smallCaps w:val="0"/>
                <w:strike w:val="0"/>
                <w:color w:val="ee0000"/>
                <w:sz w:val="18"/>
                <w:szCs w:val="18"/>
                <w:u w:val="none"/>
                <w:shd w:fill="auto" w:val="clear"/>
                <w:vertAlign w:val="baseline"/>
              </w:rPr>
            </w:pPr>
            <w:hyperlink r:id="rId13">
              <w:r w:rsidDel="00000000" w:rsidR="00000000" w:rsidRPr="00000000">
                <w:rPr>
                  <w:rFonts w:ascii="Times New Roman" w:cs="Times New Roman" w:eastAsia="Times New Roman" w:hAnsi="Times New Roman"/>
                  <w:b w:val="0"/>
                  <w:bCs w:val="0"/>
                  <w:i w:val="0"/>
                  <w:iCs w:val="0"/>
                  <w:smallCaps w:val="0"/>
                  <w:strike w:val="0"/>
                  <w:color w:val="ee0000"/>
                  <w:sz w:val="18"/>
                  <w:szCs w:val="18"/>
                  <w:u w:val="single"/>
                  <w:shd w:fill="auto" w:val="clear"/>
                  <w:vertAlign w:val="baseline"/>
                  <w:rtl w:val="0"/>
                </w:rPr>
                <w:t xml:space="preserve">TCA 49-5-804</w:t>
              </w:r>
            </w:hyperlink>
            <w:r w:rsidDel="00000000" w:rsidR="00000000" w:rsidRPr="00000000">
              <w:rPr>
                <w:rFonts w:ascii="Times New Roman" w:cs="Times New Roman" w:eastAsia="Times New Roman" w:hAnsi="Times New Roman"/>
                <w:b w:val="0"/>
                <w:bCs w:val="0"/>
                <w:i w:val="0"/>
                <w:iCs w:val="0"/>
                <w:smallCaps w:val="0"/>
                <w:strike w:val="0"/>
                <w:color w:val="ee0000"/>
                <w:sz w:val="18"/>
                <w:szCs w:val="18"/>
                <w:u w:val="none"/>
                <w:shd w:fill="auto" w:val="clear"/>
                <w:vertAlign w:val="baseline"/>
                <w:rtl w:val="0"/>
              </w:rPr>
              <w:t xml:space="preserve">; </w:t>
            </w:r>
            <w:hyperlink r:id="rId14">
              <w:r w:rsidDel="00000000" w:rsidR="00000000" w:rsidRPr="00000000">
                <w:rPr>
                  <w:rFonts w:ascii="Times New Roman" w:cs="Times New Roman" w:eastAsia="Times New Roman" w:hAnsi="Times New Roman"/>
                  <w:b w:val="0"/>
                  <w:bCs w:val="0"/>
                  <w:i w:val="0"/>
                  <w:iCs w:val="0"/>
                  <w:smallCaps w:val="0"/>
                  <w:strike w:val="0"/>
                  <w:color w:val="ee0000"/>
                  <w:sz w:val="18"/>
                  <w:szCs w:val="18"/>
                  <w:u w:val="single"/>
                  <w:shd w:fill="auto" w:val="clear"/>
                  <w:vertAlign w:val="baseline"/>
                  <w:rtl w:val="0"/>
                </w:rPr>
                <w:t xml:space="preserve">TCA 49-5-805</w:t>
              </w:r>
            </w:hyperlink>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720" w:hanging="360"/>
              <w:jc w:val="left"/>
              <w:rPr>
                <w:rFonts w:ascii="Times New Roman" w:cs="Times New Roman" w:eastAsia="Times New Roman" w:hAnsi="Times New Roman"/>
                <w:b w:val="0"/>
                <w:bCs w:val="0"/>
                <w:i w:val="0"/>
                <w:iCs w:val="0"/>
                <w:smallCaps w:val="0"/>
                <w:strike w:val="0"/>
                <w:color w:val="ee0000"/>
                <w:sz w:val="18"/>
                <w:szCs w:val="18"/>
                <w:u w:val="none"/>
                <w:shd w:fill="auto" w:val="clear"/>
                <w:vertAlign w:val="baseline"/>
              </w:rPr>
            </w:pPr>
            <w:hyperlink r:id="rId15">
              <w:r w:rsidDel="00000000" w:rsidR="00000000" w:rsidRPr="00000000">
                <w:rPr>
                  <w:rFonts w:ascii="Times New Roman" w:cs="Times New Roman" w:eastAsia="Times New Roman" w:hAnsi="Times New Roman"/>
                  <w:b w:val="0"/>
                  <w:bCs w:val="0"/>
                  <w:i w:val="0"/>
                  <w:iCs w:val="0"/>
                  <w:smallCaps w:val="0"/>
                  <w:strike w:val="0"/>
                  <w:color w:val="ee0000"/>
                  <w:sz w:val="18"/>
                  <w:szCs w:val="18"/>
                  <w:u w:val="single"/>
                  <w:shd w:fill="auto" w:val="clear"/>
                  <w:vertAlign w:val="baseline"/>
                  <w:rtl w:val="0"/>
                </w:rPr>
                <w:t xml:space="preserve">TCA 49-5-807</w:t>
              </w:r>
            </w:hyperlink>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720" w:hanging="360"/>
              <w:jc w:val="left"/>
              <w:rPr>
                <w:rFonts w:ascii="Times New Roman" w:cs="Times New Roman" w:eastAsia="Times New Roman" w:hAnsi="Times New Roman"/>
                <w:b w:val="0"/>
                <w:bCs w:val="0"/>
                <w:i w:val="0"/>
                <w:iCs w:val="0"/>
                <w:smallCaps w:val="0"/>
                <w:strike w:val="0"/>
                <w:color w:val="ee0000"/>
                <w:sz w:val="18"/>
                <w:szCs w:val="18"/>
                <w:u w:val="none"/>
                <w:shd w:fill="auto" w:val="clear"/>
                <w:vertAlign w:val="baseline"/>
              </w:rPr>
            </w:pPr>
            <w:hyperlink r:id="rId16">
              <w:r w:rsidDel="00000000" w:rsidR="00000000" w:rsidRPr="00000000">
                <w:rPr>
                  <w:rFonts w:ascii="Times New Roman" w:cs="Times New Roman" w:eastAsia="Times New Roman" w:hAnsi="Times New Roman"/>
                  <w:b w:val="0"/>
                  <w:bCs w:val="0"/>
                  <w:i w:val="0"/>
                  <w:iCs w:val="0"/>
                  <w:smallCaps w:val="0"/>
                  <w:strike w:val="0"/>
                  <w:color w:val="ee0000"/>
                  <w:sz w:val="18"/>
                  <w:szCs w:val="18"/>
                  <w:u w:val="single"/>
                  <w:shd w:fill="auto" w:val="clear"/>
                  <w:vertAlign w:val="baseline"/>
                  <w:rtl w:val="0"/>
                </w:rPr>
                <w:t xml:space="preserve">TCA 49-5-808(j), (m)</w:t>
              </w:r>
            </w:hyperlink>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720" w:hanging="360"/>
              <w:jc w:val="left"/>
              <w:rPr>
                <w:rFonts w:ascii="Times New Roman" w:cs="Times New Roman" w:eastAsia="Times New Roman" w:hAnsi="Times New Roman"/>
                <w:b w:val="0"/>
                <w:bCs w:val="0"/>
                <w:i w:val="0"/>
                <w:iCs w:val="0"/>
                <w:smallCaps w:val="0"/>
                <w:strike w:val="0"/>
                <w:color w:val="ee0000"/>
                <w:sz w:val="18"/>
                <w:szCs w:val="18"/>
                <w:u w:val="none"/>
                <w:shd w:fill="auto" w:val="clear"/>
                <w:vertAlign w:val="baseline"/>
              </w:rPr>
            </w:pPr>
            <w:hyperlink r:id="rId17">
              <w:r w:rsidDel="00000000" w:rsidR="00000000" w:rsidRPr="00000000">
                <w:rPr>
                  <w:rFonts w:ascii="Times New Roman" w:cs="Times New Roman" w:eastAsia="Times New Roman" w:hAnsi="Times New Roman"/>
                  <w:b w:val="0"/>
                  <w:bCs w:val="0"/>
                  <w:i w:val="0"/>
                  <w:iCs w:val="0"/>
                  <w:smallCaps w:val="0"/>
                  <w:strike w:val="0"/>
                  <w:color w:val="ee0000"/>
                  <w:sz w:val="18"/>
                  <w:szCs w:val="18"/>
                  <w:u w:val="single"/>
                  <w:shd w:fill="auto" w:val="clear"/>
                  <w:vertAlign w:val="baseline"/>
                  <w:rtl w:val="0"/>
                </w:rPr>
                <w:t xml:space="preserve">TCA 49-5-806(d)</w:t>
              </w:r>
            </w:hyperlink>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720" w:hanging="360"/>
              <w:jc w:val="left"/>
              <w:rPr>
                <w:rFonts w:ascii="Times New Roman" w:cs="Times New Roman" w:eastAsia="Times New Roman" w:hAnsi="Times New Roman"/>
                <w:b w:val="0"/>
                <w:bCs w:val="0"/>
                <w:i w:val="0"/>
                <w:iCs w:val="0"/>
                <w:smallCaps w:val="0"/>
                <w:strike w:val="0"/>
                <w:color w:val="ee0000"/>
                <w:sz w:val="18"/>
                <w:szCs w:val="18"/>
                <w:u w:val="none"/>
                <w:shd w:fill="auto" w:val="clear"/>
                <w:vertAlign w:val="baseline"/>
              </w:rPr>
            </w:pPr>
            <w:hyperlink r:id="rId18">
              <w:r w:rsidDel="00000000" w:rsidR="00000000" w:rsidRPr="00000000">
                <w:rPr>
                  <w:rFonts w:ascii="Times New Roman" w:cs="Times New Roman" w:eastAsia="Times New Roman" w:hAnsi="Times New Roman"/>
                  <w:b w:val="0"/>
                  <w:bCs w:val="0"/>
                  <w:i w:val="0"/>
                  <w:iCs w:val="0"/>
                  <w:smallCaps w:val="0"/>
                  <w:strike w:val="0"/>
                  <w:color w:val="ee0000"/>
                  <w:sz w:val="18"/>
                  <w:szCs w:val="18"/>
                  <w:u w:val="single"/>
                  <w:shd w:fill="auto" w:val="clear"/>
                  <w:vertAlign w:val="baseline"/>
                  <w:rtl w:val="0"/>
                </w:rPr>
                <w:t xml:space="preserve">TCA 49-5-801 </w:t>
              </w:r>
            </w:hyperlink>
            <w:hyperlink r:id="rId19">
              <w:r w:rsidDel="00000000" w:rsidR="00000000" w:rsidRPr="00000000">
                <w:rPr>
                  <w:rFonts w:ascii="Times New Roman" w:cs="Times New Roman" w:eastAsia="Times New Roman" w:hAnsi="Times New Roman"/>
                  <w:b w:val="0"/>
                  <w:bCs w:val="0"/>
                  <w:i w:val="1"/>
                  <w:iCs w:val="1"/>
                  <w:smallCaps w:val="0"/>
                  <w:strike w:val="0"/>
                  <w:color w:val="ee0000"/>
                  <w:sz w:val="18"/>
                  <w:szCs w:val="18"/>
                  <w:u w:val="single"/>
                  <w:shd w:fill="auto" w:val="clear"/>
                  <w:vertAlign w:val="baseline"/>
                  <w:rtl w:val="0"/>
                </w:rPr>
                <w:t xml:space="preserve">et seq.</w:t>
              </w:r>
            </w:hyperlink>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72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72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360" w:right="72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048">
            <w:pPr>
              <w:spacing w:before="240" w:lineRule="auto"/>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Workers’ Compensation 3.602</w:t>
            </w:r>
          </w:p>
          <w:p w:rsidR="00000000" w:rsidDel="00000000" w:rsidP="00000000" w:rsidRDefault="00000000" w:rsidRPr="00000000" w14:paraId="00000049">
            <w:pP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Orientation and Probation 5.107</w:t>
            </w:r>
          </w:p>
          <w:p w:rsidR="00000000" w:rsidDel="00000000" w:rsidP="00000000" w:rsidRDefault="00000000" w:rsidRPr="00000000" w14:paraId="0000004A">
            <w:pP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Short Term Leaves of Absence 5.300</w:t>
            </w:r>
          </w:p>
          <w:p w:rsidR="00000000" w:rsidDel="00000000" w:rsidP="00000000" w:rsidRDefault="00000000" w:rsidRPr="00000000" w14:paraId="0000004B">
            <w:pPr>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Family and Medical Leave 5.305</w:t>
              <w:br w:type="textWrapping"/>
              <w:t xml:space="preserve">Physical Assault Leave 5.307</w:t>
            </w:r>
          </w:p>
        </w:tc>
      </w:tr>
    </w:tbl>
    <w:p w:rsidR="00000000" w:rsidDel="00000000" w:rsidP="00000000" w:rsidRDefault="00000000" w:rsidRPr="00000000" w14:paraId="0000004C">
      <w:pPr>
        <w:spacing w:after="0" w:before="240" w:line="240" w:lineRule="auto"/>
        <w:rPr>
          <w:rFonts w:ascii="Times New Roman" w:cs="Times New Roman" w:eastAsia="Times New Roman" w:hAnsi="Times New Roman"/>
          <w:sz w:val="24"/>
          <w:szCs w:val="24"/>
        </w:rPr>
      </w:pPr>
      <w:r w:rsidDel="00000000" w:rsidR="00000000" w:rsidRPr="00000000">
        <w:rPr>
          <w:rtl w:val="0"/>
        </w:rPr>
      </w:r>
    </w:p>
    <w:sectPr>
      <w:headerReference r:id="rId20" w:type="default"/>
      <w:footerReference r:id="rId21" w:type="default"/>
      <w:footerReference r:id="rId22" w:type="first"/>
      <w:pgSz w:h="15840" w:w="12240" w:orient="portrait"/>
      <w:pgMar w:bottom="1440" w:top="1440" w:left="1152" w:right="1152" w:header="720" w:footer="720"/>
      <w:lnNumType w:countBy="1" w:start="0" w:restart="newPage"/>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1365"/>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-131017</wp:posOffset>
              </wp:positionH>
              <wp:positionV relativeFrom="paragraph">
                <wp:posOffset>74030</wp:posOffset>
              </wp:positionV>
              <wp:extent cx="6653170" cy="19050"/>
              <wp:effectExtent b="0" l="0" r="0" t="0"/>
              <wp:wrapNone/>
              <wp:docPr id="1" name=""/>
              <a:graphic>
                <a:graphicData uri="http://schemas.microsoft.com/office/word/2010/wordprocessingShape">
                  <wps:wsp>
                    <wps:cNvCnPr/>
                    <wps:spPr>
                      <a:xfrm>
                        <a:off x="2019415" y="3780000"/>
                        <a:ext cx="6653170" cy="0"/>
                      </a:xfrm>
                      <a:prstGeom prst="straightConnector1">
                        <a:avLst/>
                      </a:prstGeom>
                      <a:noFill/>
                      <a:ln cap="flat" cmpd="sng" w="19050">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-131017</wp:posOffset>
              </wp:positionH>
              <wp:positionV relativeFrom="paragraph">
                <wp:posOffset>74030</wp:posOffset>
              </wp:positionV>
              <wp:extent cx="6653170" cy="19050"/>
              <wp:effectExtent b="0" l="0" r="0" t="0"/>
              <wp:wrapNone/>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6653170" cy="19050"/>
                      </a:xfrm>
                      <a:prstGeom prst="rect"/>
                      <a:ln/>
                    </pic:spPr>
                  </pic:pic>
                </a:graphicData>
              </a:graphic>
            </wp:anchor>
          </w:drawing>
        </mc:Fallback>
      </mc:AlternateConten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1365"/>
      </w:tabs>
      <w:spacing w:after="0" w:before="6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ab/>
      <w:tab/>
      <w:tab/>
      <w:tab/>
      <w:tab/>
      <w:tab/>
      <w:tab/>
      <w:tab/>
      <w:tab/>
      <w:tab/>
      <w:t xml:space="preserve">Version Date: July 9, 2026</w:t>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6"/>
        <w:szCs w:val="16"/>
        <w:u w:val="none"/>
        <w:shd w:fill="auto" w:val="clear"/>
        <w:vertAlign w:val="baseline"/>
        <w:rtl w:val="0"/>
      </w:rPr>
      <w:t xml:space="preserve">Sick Leave</w:t>
      <w:tab/>
      <w:tab/>
      <w:t xml:space="preserve">5.302</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-117042</wp:posOffset>
              </wp:positionH>
              <wp:positionV relativeFrom="paragraph">
                <wp:posOffset>-3110</wp:posOffset>
              </wp:positionV>
              <wp:extent cx="6583578" cy="28575"/>
              <wp:effectExtent b="0" l="0" r="0" t="0"/>
              <wp:wrapNone/>
              <wp:docPr id="2" name=""/>
              <a:graphic>
                <a:graphicData uri="http://schemas.microsoft.com/office/word/2010/wordprocessingShape">
                  <wps:wsp>
                    <wps:cNvCnPr/>
                    <wps:spPr>
                      <a:xfrm>
                        <a:off x="2054211" y="3780000"/>
                        <a:ext cx="6583578" cy="0"/>
                      </a:xfrm>
                      <a:prstGeom prst="straightConnector1">
                        <a:avLst/>
                      </a:prstGeom>
                      <a:noFill/>
                      <a:ln cap="flat" cmpd="sng" w="28575">
                        <a:solidFill>
                          <a:srgbClr val="0C0C0C"/>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-117042</wp:posOffset>
              </wp:positionH>
              <wp:positionV relativeFrom="paragraph">
                <wp:posOffset>-3110</wp:posOffset>
              </wp:positionV>
              <wp:extent cx="6583578" cy="28575"/>
              <wp:effectExtent b="0" l="0" r="0" t="0"/>
              <wp:wrapNone/>
              <wp:docPr id="2"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6583578" cy="28575"/>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eader" Target="header1.xml"/><Relationship Id="rId11" Type="http://schemas.openxmlformats.org/officeDocument/2006/relationships/hyperlink" Target="https://legal.tsba.net/state-statutes/t-c-a-%C2%A7-49-5-811-participation-of-nonteacher-employees-of-lea-in-teachers-sick-leave-bank" TargetMode="External"/><Relationship Id="rId22" Type="http://schemas.openxmlformats.org/officeDocument/2006/relationships/footer" Target="footer2.xml"/><Relationship Id="rId10" Type="http://schemas.openxmlformats.org/officeDocument/2006/relationships/hyperlink" Target="https://legal.tsba.net/state-statutes/t-c-a-%C2%A7-49-5-710-sick-leave-accumulation-and-use" TargetMode="External"/><Relationship Id="rId21" Type="http://schemas.openxmlformats.org/officeDocument/2006/relationships/footer" Target="footer1.xml"/><Relationship Id="rId13" Type="http://schemas.openxmlformats.org/officeDocument/2006/relationships/hyperlink" Target="https://legal.tsba.net/state-statutes/t-c-a-%C2%A7-49-5-804-trustees" TargetMode="External"/><Relationship Id="rId12" Type="http://schemas.openxmlformats.org/officeDocument/2006/relationships/hyperlink" Target="https://legal.tsba.net/state-statutes/t-c-a-%C2%A7-49-5-803-establishment"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publications.tnsosfiles.com/rules/0520/0520.htm" TargetMode="External"/><Relationship Id="rId15" Type="http://schemas.openxmlformats.org/officeDocument/2006/relationships/hyperlink" Target="https://legal.tsba.net/state-statutes/t-c-a-%C2%A7-49-5-807-leave-contributions" TargetMode="External"/><Relationship Id="rId14" Type="http://schemas.openxmlformats.org/officeDocument/2006/relationships/hyperlink" Target="https://legal.tsba.net/state-statutes/t-c-a-%C2%A7-49-5-805-rules-and-regulations" TargetMode="External"/><Relationship Id="rId17" Type="http://schemas.openxmlformats.org/officeDocument/2006/relationships/hyperlink" Target="https://legal.tsba.net/state-statutes/t-c-a-%C2%A7-49-5-806-participation" TargetMode="External"/><Relationship Id="rId16" Type="http://schemas.openxmlformats.org/officeDocument/2006/relationships/hyperlink" Target="https://legal.tsba.net/state-statutes/t-c-a-%C2%A7-49-5-808-use-of-bank" TargetMode="External"/><Relationship Id="rId5" Type="http://schemas.openxmlformats.org/officeDocument/2006/relationships/styles" Target="styles.xml"/><Relationship Id="rId19" Type="http://schemas.openxmlformats.org/officeDocument/2006/relationships/hyperlink" Target="https://legal.tsba.net/state-statutes/t-c-a-%C2%A7-49-5-801-short-title" TargetMode="External"/><Relationship Id="rId6" Type="http://schemas.openxmlformats.org/officeDocument/2006/relationships/customXml" Target="../customXML/item1.xml"/><Relationship Id="rId18" Type="http://schemas.openxmlformats.org/officeDocument/2006/relationships/hyperlink" Target="https://legal.tsba.net/state-statutes/t-c-a-%C2%A7-49-5-801-short-title" TargetMode="External"/><Relationship Id="rId7" Type="http://schemas.openxmlformats.org/officeDocument/2006/relationships/hyperlink" Target="https://legal.tsba.net/state-statutes/t-c-a-%C2%A7-49-5-710-sick-leave-accumulation-and-use" TargetMode="External"/><Relationship Id="rId8" Type="http://schemas.openxmlformats.org/officeDocument/2006/relationships/hyperlink" Target="https://publications.tnsosfiles.com/acts/114/pub/pc1022.pdf"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OoOgU7UNM+frsf6YUM/JBl4uLg==">CgMxLjAyD2lkLmdkY3NuMGxvbTFiOTgAciExdVlybGUtSVBBUnoxRXdOS0NLMXoyZUg1ZEpBaHVrTXk=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BoardTitle">
    <vt:lpwstr>Cumberland Board</vt:lpwstr>
  </property>
  <property fmtid="{D5CDD505-2E9C-101B-9397-08002B2CF9AE}" pid="3" name="ContentTypeId">
    <vt:lpwstr>0x010100EE654CB4FC662A479C35D9B8D1B3F52F</vt:lpwstr>
  </property>
  <property fmtid="{D5CDD505-2E9C-101B-9397-08002B2CF9AE}" pid="4" name="Order">
    <vt:lpwstr>5337600</vt:lpwstr>
  </property>
  <property fmtid="{D5CDD505-2E9C-101B-9397-08002B2CF9AE}" pid="5" name="_SourceUrl">
    <vt:lpwstr>_SourceUrl</vt:lpwstr>
  </property>
  <property fmtid="{D5CDD505-2E9C-101B-9397-08002B2CF9AE}" pid="6" name="_SharedFileIndex">
    <vt:lpwstr>_SharedFileIndex</vt:lpwstr>
  </property>
  <property fmtid="{D5CDD505-2E9C-101B-9397-08002B2CF9AE}" pid="7" name="ComplianceAssetId">
    <vt:lpwstr>ComplianceAssetId</vt:lpwstr>
  </property>
  <property fmtid="{D5CDD505-2E9C-101B-9397-08002B2CF9AE}" pid="8" name="_activity">
    <vt:lpwstr>{"FileActivityType":"9","FileActivityTimeStamp":"2026-05-09T03:21:39.390Z","FileActivityUsersOnPage":[{"DisplayName":"KBSAdmin","Id":"kbsadmin@tsba.net"}],"FileActivityNavigationId":null}</vt:lpwstr>
  </property>
  <property fmtid="{D5CDD505-2E9C-101B-9397-08002B2CF9AE}" pid="9" name="_ExtendedDescription">
    <vt:lpwstr>_ExtendedDescription</vt:lpwstr>
  </property>
  <property fmtid="{D5CDD505-2E9C-101B-9397-08002B2CF9AE}" pid="10" name="TriggerFlowInfo">
    <vt:lpwstr>TriggerFlowInfo</vt:lpwstr>
  </property>
</Properties>
</file>